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8666C" w14:textId="2297DC30" w:rsidR="00BD7EE9" w:rsidRDefault="00476E4C" w:rsidP="00985AB6">
      <w:pPr>
        <w:rPr>
          <w:b/>
        </w:rPr>
      </w:pPr>
      <w:r>
        <w:rPr>
          <w:b/>
        </w:rPr>
        <w:t xml:space="preserve">Title: </w:t>
      </w:r>
      <w:r w:rsidR="00BD7EE9" w:rsidRPr="009231A9">
        <w:rPr>
          <w:bCs/>
          <w:caps/>
        </w:rPr>
        <w:t>Effect of efgartigimod</w:t>
      </w:r>
      <w:r w:rsidR="00143514" w:rsidRPr="009231A9">
        <w:rPr>
          <w:bCs/>
          <w:caps/>
        </w:rPr>
        <w:t>, a neonatal Fc receptor blocker,</w:t>
      </w:r>
      <w:r w:rsidR="00BD7EE9" w:rsidRPr="009231A9">
        <w:rPr>
          <w:bCs/>
          <w:caps/>
        </w:rPr>
        <w:t xml:space="preserve"> on humoral vaccine responses in autoimmune patients</w:t>
      </w:r>
    </w:p>
    <w:p w14:paraId="5D1E1859" w14:textId="77777777" w:rsidR="00BD7EE9" w:rsidRDefault="00BD7EE9" w:rsidP="00985AB6">
      <w:pPr>
        <w:rPr>
          <w:b/>
        </w:rPr>
      </w:pPr>
    </w:p>
    <w:p w14:paraId="6698E360" w14:textId="4DAD10F9" w:rsidR="00BD7EE9" w:rsidRDefault="00BD7EE9" w:rsidP="00985AB6">
      <w:pPr>
        <w:rPr>
          <w:iCs/>
        </w:rPr>
      </w:pPr>
      <w:r w:rsidRPr="0081150D">
        <w:rPr>
          <w:b/>
          <w:bCs/>
          <w:iCs/>
        </w:rPr>
        <w:t>Authors:</w:t>
      </w:r>
      <w:r w:rsidRPr="00476E4C">
        <w:rPr>
          <w:iCs/>
        </w:rPr>
        <w:t xml:space="preserve"> </w:t>
      </w:r>
      <w:r w:rsidR="00A667F8">
        <w:rPr>
          <w:iCs/>
        </w:rPr>
        <w:t xml:space="preserve">Jeffrey </w:t>
      </w:r>
      <w:r w:rsidR="00E2005E">
        <w:rPr>
          <w:iCs/>
        </w:rPr>
        <w:t xml:space="preserve">T. </w:t>
      </w:r>
      <w:r w:rsidR="00A667F8">
        <w:rPr>
          <w:iCs/>
        </w:rPr>
        <w:t>Guptil</w:t>
      </w:r>
      <w:r w:rsidR="0066757E">
        <w:rPr>
          <w:iCs/>
        </w:rPr>
        <w:t>l</w:t>
      </w:r>
      <w:r w:rsidR="00EA7893" w:rsidRPr="00EA7893">
        <w:rPr>
          <w:iCs/>
          <w:vertAlign w:val="superscript"/>
        </w:rPr>
        <w:t>1</w:t>
      </w:r>
      <w:r w:rsidR="004E3470">
        <w:rPr>
          <w:iCs/>
        </w:rPr>
        <w:t xml:space="preserve">, John </w:t>
      </w:r>
      <w:r w:rsidR="007D79F3">
        <w:rPr>
          <w:iCs/>
        </w:rPr>
        <w:t xml:space="preserve">W. </w:t>
      </w:r>
      <w:r w:rsidR="004E3470">
        <w:rPr>
          <w:iCs/>
        </w:rPr>
        <w:t>Sleasman</w:t>
      </w:r>
      <w:r w:rsidR="00EA7893" w:rsidRPr="00EA7893">
        <w:rPr>
          <w:iCs/>
          <w:vertAlign w:val="superscript"/>
        </w:rPr>
        <w:t>2</w:t>
      </w:r>
      <w:r w:rsidR="004E3470">
        <w:rPr>
          <w:iCs/>
        </w:rPr>
        <w:t>, Sophie</w:t>
      </w:r>
      <w:r w:rsidR="00023BD6">
        <w:rPr>
          <w:iCs/>
        </w:rPr>
        <w:t xml:space="preserve"> Steeland</w:t>
      </w:r>
      <w:r w:rsidR="00EA7893" w:rsidRPr="00EA7893">
        <w:rPr>
          <w:iCs/>
          <w:vertAlign w:val="superscript"/>
        </w:rPr>
        <w:t>3</w:t>
      </w:r>
      <w:r w:rsidR="00023BD6">
        <w:rPr>
          <w:iCs/>
        </w:rPr>
        <w:t>, Magda</w:t>
      </w:r>
      <w:r w:rsidR="00C2181C">
        <w:rPr>
          <w:iCs/>
        </w:rPr>
        <w:t>lena</w:t>
      </w:r>
      <w:r w:rsidRPr="00476E4C">
        <w:rPr>
          <w:iCs/>
        </w:rPr>
        <w:t xml:space="preserve"> </w:t>
      </w:r>
      <w:r w:rsidR="00C2181C">
        <w:rPr>
          <w:iCs/>
        </w:rPr>
        <w:t>Sips</w:t>
      </w:r>
      <w:r w:rsidR="00EA7893" w:rsidRPr="00EA7893">
        <w:rPr>
          <w:iCs/>
          <w:vertAlign w:val="superscript"/>
        </w:rPr>
        <w:t>3</w:t>
      </w:r>
      <w:r w:rsidR="00C2181C">
        <w:rPr>
          <w:iCs/>
        </w:rPr>
        <w:t>, Deborah Gelinas</w:t>
      </w:r>
      <w:r w:rsidR="00EA7893" w:rsidRPr="00EA7893">
        <w:rPr>
          <w:iCs/>
          <w:vertAlign w:val="superscript"/>
        </w:rPr>
        <w:t>3</w:t>
      </w:r>
      <w:r w:rsidR="005063E5">
        <w:rPr>
          <w:iCs/>
        </w:rPr>
        <w:t>, Hans de Haard</w:t>
      </w:r>
      <w:r w:rsidR="00EA7893" w:rsidRPr="00EA7893">
        <w:rPr>
          <w:iCs/>
          <w:vertAlign w:val="superscript"/>
        </w:rPr>
        <w:t>3</w:t>
      </w:r>
      <w:r w:rsidR="005063E5">
        <w:rPr>
          <w:iCs/>
        </w:rPr>
        <w:t>, Kevin Winthrop</w:t>
      </w:r>
      <w:r w:rsidR="00EA7893" w:rsidRPr="00EA7893">
        <w:rPr>
          <w:iCs/>
          <w:vertAlign w:val="superscript"/>
        </w:rPr>
        <w:t>4</w:t>
      </w:r>
      <w:r w:rsidR="005063E5">
        <w:rPr>
          <w:iCs/>
        </w:rPr>
        <w:t xml:space="preserve">, </w:t>
      </w:r>
      <w:r w:rsidR="00EA7893">
        <w:rPr>
          <w:iCs/>
        </w:rPr>
        <w:t>Antoine Az</w:t>
      </w:r>
      <w:r w:rsidR="00F80EBA">
        <w:rPr>
          <w:iCs/>
        </w:rPr>
        <w:t>a</w:t>
      </w:r>
      <w:r w:rsidR="00EA7893">
        <w:rPr>
          <w:iCs/>
        </w:rPr>
        <w:t>r</w:t>
      </w:r>
      <w:r w:rsidR="00EA7893" w:rsidRPr="00EA7893">
        <w:rPr>
          <w:iCs/>
          <w:vertAlign w:val="superscript"/>
        </w:rPr>
        <w:t>5</w:t>
      </w:r>
      <w:r w:rsidR="00EA7893">
        <w:rPr>
          <w:iCs/>
        </w:rPr>
        <w:t>, James F. Howard Jr</w:t>
      </w:r>
      <w:r w:rsidR="00EA7893" w:rsidRPr="00EA7893">
        <w:rPr>
          <w:iCs/>
          <w:vertAlign w:val="superscript"/>
        </w:rPr>
        <w:t>6</w:t>
      </w:r>
      <w:r w:rsidR="00EA7893">
        <w:rPr>
          <w:iCs/>
        </w:rPr>
        <w:t xml:space="preserve"> </w:t>
      </w:r>
    </w:p>
    <w:p w14:paraId="5AC1CFE5" w14:textId="5851600D" w:rsidR="00476E4C" w:rsidRDefault="00476E4C" w:rsidP="00985AB6">
      <w:pPr>
        <w:rPr>
          <w:iCs/>
        </w:rPr>
      </w:pPr>
    </w:p>
    <w:p w14:paraId="44DEC716" w14:textId="018FC0DC" w:rsidR="00476E4C" w:rsidRPr="00476E4C" w:rsidRDefault="00476E4C" w:rsidP="00985AB6">
      <w:pPr>
        <w:rPr>
          <w:iCs/>
        </w:rPr>
      </w:pPr>
      <w:r w:rsidRPr="0081150D">
        <w:rPr>
          <w:b/>
          <w:bCs/>
          <w:iCs/>
        </w:rPr>
        <w:t>Affiliations:</w:t>
      </w:r>
      <w:r>
        <w:rPr>
          <w:iCs/>
        </w:rPr>
        <w:t xml:space="preserve"> </w:t>
      </w:r>
      <w:r w:rsidR="00604263" w:rsidRPr="0081150D">
        <w:rPr>
          <w:iCs/>
          <w:vertAlign w:val="superscript"/>
        </w:rPr>
        <w:t>1</w:t>
      </w:r>
      <w:r w:rsidR="00C26DEE">
        <w:rPr>
          <w:iCs/>
        </w:rPr>
        <w:t>Duke University School of Medicine, Department of Neurology</w:t>
      </w:r>
      <w:r w:rsidR="00604263">
        <w:rPr>
          <w:iCs/>
        </w:rPr>
        <w:t xml:space="preserve">, </w:t>
      </w:r>
      <w:r w:rsidR="00EB5301">
        <w:rPr>
          <w:iCs/>
        </w:rPr>
        <w:t xml:space="preserve">Durham, NC, USA; </w:t>
      </w:r>
      <w:r w:rsidR="00E808DC" w:rsidRPr="0081150D">
        <w:rPr>
          <w:iCs/>
          <w:vertAlign w:val="superscript"/>
        </w:rPr>
        <w:t>2</w:t>
      </w:r>
      <w:r w:rsidR="002B0313">
        <w:rPr>
          <w:iCs/>
        </w:rPr>
        <w:t>Duke University School of Medicine,</w:t>
      </w:r>
      <w:r w:rsidR="003C5CFC">
        <w:rPr>
          <w:iCs/>
        </w:rPr>
        <w:t xml:space="preserve"> Division of Allergy, Immunology, and </w:t>
      </w:r>
      <w:r w:rsidR="00CA6905">
        <w:rPr>
          <w:iCs/>
        </w:rPr>
        <w:t>Pulmonary Medicine</w:t>
      </w:r>
      <w:r w:rsidR="003C5CFC">
        <w:rPr>
          <w:iCs/>
        </w:rPr>
        <w:t xml:space="preserve">, Durham NC, USA; </w:t>
      </w:r>
      <w:r w:rsidR="00E808DC" w:rsidRPr="0081150D">
        <w:rPr>
          <w:iCs/>
          <w:vertAlign w:val="superscript"/>
        </w:rPr>
        <w:t>3</w:t>
      </w:r>
      <w:r w:rsidR="003C5CFC">
        <w:rPr>
          <w:iCs/>
        </w:rPr>
        <w:t>argenx, Ghent, Belgium</w:t>
      </w:r>
      <w:r w:rsidR="00E808DC">
        <w:rPr>
          <w:iCs/>
        </w:rPr>
        <w:t xml:space="preserve">; </w:t>
      </w:r>
      <w:r w:rsidR="00E808DC" w:rsidRPr="0081150D">
        <w:rPr>
          <w:iCs/>
          <w:vertAlign w:val="superscript"/>
        </w:rPr>
        <w:t>4</w:t>
      </w:r>
      <w:r w:rsidR="002B1DC8">
        <w:rPr>
          <w:iCs/>
        </w:rPr>
        <w:t>Oregon Health and Science University</w:t>
      </w:r>
      <w:r w:rsidR="00F127D7">
        <w:rPr>
          <w:iCs/>
        </w:rPr>
        <w:t xml:space="preserve">, Division of Infectious Disease, </w:t>
      </w:r>
      <w:r w:rsidR="00A8298B">
        <w:rPr>
          <w:iCs/>
        </w:rPr>
        <w:t>Portland, OR, USA</w:t>
      </w:r>
      <w:r w:rsidR="00E808DC">
        <w:rPr>
          <w:iCs/>
        </w:rPr>
        <w:t xml:space="preserve">; </w:t>
      </w:r>
      <w:r w:rsidR="00E808DC" w:rsidRPr="0081150D">
        <w:rPr>
          <w:iCs/>
          <w:vertAlign w:val="superscript"/>
        </w:rPr>
        <w:t>5</w:t>
      </w:r>
      <w:r w:rsidR="002B1DC8">
        <w:rPr>
          <w:iCs/>
        </w:rPr>
        <w:t xml:space="preserve">Johns Hopkins </w:t>
      </w:r>
      <w:r w:rsidR="00133638">
        <w:rPr>
          <w:iCs/>
        </w:rPr>
        <w:t xml:space="preserve">University School of Medicine, </w:t>
      </w:r>
      <w:r w:rsidR="00E720E7">
        <w:rPr>
          <w:iCs/>
        </w:rPr>
        <w:t xml:space="preserve">Division of Allergy and Clinical Immunology, Baltimore, Maryland, USA; </w:t>
      </w:r>
      <w:r w:rsidR="00E720E7" w:rsidRPr="0081150D">
        <w:rPr>
          <w:iCs/>
          <w:vertAlign w:val="superscript"/>
        </w:rPr>
        <w:t>6</w:t>
      </w:r>
      <w:r w:rsidR="00D25A95">
        <w:t>The University of North Carolina at Chapel Hill, Department of Neurology, Chapel Hill, North Carolina, USA</w:t>
      </w:r>
    </w:p>
    <w:p w14:paraId="7BDDB700" w14:textId="5675C34D" w:rsidR="00985AB6" w:rsidRDefault="0076316F" w:rsidP="00985AB6">
      <w:r>
        <w:rPr>
          <w:iCs/>
        </w:rPr>
        <w:t xml:space="preserve"> </w:t>
      </w:r>
    </w:p>
    <w:p w14:paraId="57893791" w14:textId="04488A6E" w:rsidR="007146A9" w:rsidRDefault="007146A9">
      <w:r>
        <w:rPr>
          <w:b/>
          <w:bCs/>
        </w:rPr>
        <w:t xml:space="preserve">Word count: </w:t>
      </w:r>
      <w:r>
        <w:t>2</w:t>
      </w:r>
      <w:r w:rsidR="00C9127D">
        <w:t xml:space="preserve">45 </w:t>
      </w:r>
      <w:r>
        <w:t>(Limit: 250)</w:t>
      </w:r>
    </w:p>
    <w:p w14:paraId="4DE4E641" w14:textId="1A68B692" w:rsidR="007146A9" w:rsidRPr="007146A9" w:rsidRDefault="00D53448" w:rsidP="00D53448">
      <w:pPr>
        <w:tabs>
          <w:tab w:val="left" w:pos="1300"/>
        </w:tabs>
      </w:pPr>
      <w:r>
        <w:tab/>
      </w:r>
    </w:p>
    <w:p w14:paraId="5B0861DB" w14:textId="0744053A" w:rsidR="005C4A08" w:rsidRDefault="005C4A08">
      <w:pPr>
        <w:rPr>
          <w:b/>
          <w:bCs/>
        </w:rPr>
      </w:pPr>
      <w:r>
        <w:rPr>
          <w:b/>
          <w:bCs/>
        </w:rPr>
        <w:t>Introduction:</w:t>
      </w:r>
    </w:p>
    <w:p w14:paraId="4D5A2B99" w14:textId="208086E8" w:rsidR="00EE589D" w:rsidRDefault="00D37505">
      <w:pPr>
        <w:rPr>
          <w:b/>
          <w:bCs/>
        </w:rPr>
      </w:pPr>
      <w:r>
        <w:t>Immunosuppressive agents used to treat</w:t>
      </w:r>
      <w:r w:rsidR="00F947EF">
        <w:t xml:space="preserve"> </w:t>
      </w:r>
      <w:r w:rsidR="00077AC3">
        <w:t xml:space="preserve">generalized </w:t>
      </w:r>
      <w:r w:rsidR="00F947EF">
        <w:t>myasthenia gravis (</w:t>
      </w:r>
      <w:proofErr w:type="spellStart"/>
      <w:r w:rsidR="00077AC3">
        <w:t>g</w:t>
      </w:r>
      <w:r w:rsidR="00F947EF">
        <w:t>MG</w:t>
      </w:r>
      <w:proofErr w:type="spellEnd"/>
      <w:r w:rsidR="00F947EF">
        <w:t>) have been associated with an increased risk of infection</w:t>
      </w:r>
      <w:r w:rsidR="00E95B05">
        <w:t xml:space="preserve"> and</w:t>
      </w:r>
      <w:r w:rsidR="00343FD6">
        <w:t xml:space="preserve"> reported to impair immunogenicity to vaccines</w:t>
      </w:r>
      <w:r w:rsidR="00430238">
        <w:t>,</w:t>
      </w:r>
      <w:r w:rsidR="00343FD6">
        <w:t xml:space="preserve"> specifically the</w:t>
      </w:r>
      <w:r w:rsidR="00696EBC">
        <w:t xml:space="preserve"> recently developed</w:t>
      </w:r>
      <w:r w:rsidR="00343FD6">
        <w:t xml:space="preserve"> SARS-CoV-2 vaccines.</w:t>
      </w:r>
      <w:r w:rsidR="00406755">
        <w:t xml:space="preserve"> </w:t>
      </w:r>
      <w:r w:rsidR="00696EBC">
        <w:t>MG has also been suggested as a</w:t>
      </w:r>
      <w:r w:rsidR="005736C0">
        <w:t xml:space="preserve"> risk</w:t>
      </w:r>
      <w:r w:rsidR="00696EBC">
        <w:t xml:space="preserve"> factor</w:t>
      </w:r>
      <w:r w:rsidR="005736C0">
        <w:t xml:space="preserve"> for sever</w:t>
      </w:r>
      <w:r w:rsidR="00430238">
        <w:t>e</w:t>
      </w:r>
      <w:r w:rsidR="005736C0">
        <w:t xml:space="preserve"> </w:t>
      </w:r>
      <w:proofErr w:type="spellStart"/>
      <w:r w:rsidR="005736C0">
        <w:t>Covid</w:t>
      </w:r>
      <w:proofErr w:type="spellEnd"/>
      <w:r w:rsidR="005736C0">
        <w:t xml:space="preserve">. </w:t>
      </w:r>
      <w:r w:rsidR="0038294F">
        <w:t xml:space="preserve">Efgartigimod, a modified </w:t>
      </w:r>
      <w:r w:rsidR="00144909">
        <w:t xml:space="preserve">human IgG1 </w:t>
      </w:r>
      <w:r w:rsidR="0038294F">
        <w:t>Fc fragment with increased affinity for neonatal Fc receptor (</w:t>
      </w:r>
      <w:proofErr w:type="spellStart"/>
      <w:r w:rsidR="0038294F">
        <w:t>FcRn</w:t>
      </w:r>
      <w:proofErr w:type="spellEnd"/>
      <w:r w:rsidR="0038294F">
        <w:t xml:space="preserve">), blocks </w:t>
      </w:r>
      <w:proofErr w:type="spellStart"/>
      <w:r w:rsidR="0038294F">
        <w:t>FcRn</w:t>
      </w:r>
      <w:proofErr w:type="spellEnd"/>
      <w:r w:rsidR="0038294F">
        <w:t>-mediated IgG recycling, leading to a rapid reduction of IgG</w:t>
      </w:r>
      <w:r w:rsidR="00982122">
        <w:t xml:space="preserve">. It is being evaluated in </w:t>
      </w:r>
      <w:r w:rsidR="00F63F43">
        <w:t xml:space="preserve">multiple </w:t>
      </w:r>
      <w:r w:rsidR="00982122">
        <w:t xml:space="preserve">autoimmune diseases, including </w:t>
      </w:r>
      <w:proofErr w:type="spellStart"/>
      <w:r w:rsidR="00982122">
        <w:t>gMG</w:t>
      </w:r>
      <w:proofErr w:type="spellEnd"/>
      <w:r w:rsidR="00982122">
        <w:t xml:space="preserve">. </w:t>
      </w:r>
    </w:p>
    <w:p w14:paraId="0661B580" w14:textId="77777777" w:rsidR="005752D2" w:rsidRDefault="005752D2">
      <w:pPr>
        <w:rPr>
          <w:b/>
          <w:bCs/>
        </w:rPr>
      </w:pPr>
    </w:p>
    <w:p w14:paraId="7961D6B3" w14:textId="59435005" w:rsidR="005C4A08" w:rsidRDefault="005C4A08">
      <w:pPr>
        <w:rPr>
          <w:b/>
          <w:bCs/>
        </w:rPr>
      </w:pPr>
      <w:r>
        <w:rPr>
          <w:b/>
          <w:bCs/>
        </w:rPr>
        <w:t>Methods:</w:t>
      </w:r>
    </w:p>
    <w:p w14:paraId="25A64E4A" w14:textId="67FD6083" w:rsidR="00CC4561" w:rsidRDefault="00035471">
      <w:r>
        <w:t>We identified p</w:t>
      </w:r>
      <w:r w:rsidR="00216D37">
        <w:t xml:space="preserve">atients </w:t>
      </w:r>
      <w:r w:rsidR="000210E1">
        <w:t>who were treated with efgartigimod</w:t>
      </w:r>
      <w:r w:rsidR="00DD0195">
        <w:t xml:space="preserve"> that </w:t>
      </w:r>
      <w:r w:rsidR="000210E1">
        <w:t xml:space="preserve">had been vaccinated </w:t>
      </w:r>
      <w:r w:rsidR="001C0084">
        <w:t xml:space="preserve">prior </w:t>
      </w:r>
      <w:r w:rsidR="00DD0195">
        <w:t xml:space="preserve">to </w:t>
      </w:r>
      <w:r w:rsidR="001C0084">
        <w:t xml:space="preserve">or </w:t>
      </w:r>
      <w:r w:rsidR="000210E1">
        <w:t>during</w:t>
      </w:r>
      <w:r w:rsidR="00A83886">
        <w:t xml:space="preserve"> clinical studies</w:t>
      </w:r>
      <w:r w:rsidR="00DD0195">
        <w:t xml:space="preserve"> </w:t>
      </w:r>
      <w:r w:rsidR="00A83886">
        <w:t xml:space="preserve">in </w:t>
      </w:r>
      <w:proofErr w:type="spellStart"/>
      <w:r w:rsidR="00A83886">
        <w:t>gMG</w:t>
      </w:r>
      <w:proofErr w:type="spellEnd"/>
      <w:r w:rsidR="00A83886">
        <w:t xml:space="preserve"> (n=12) and pemphigus </w:t>
      </w:r>
      <w:r w:rsidR="00EB359F">
        <w:t>(n=15)</w:t>
      </w:r>
      <w:r>
        <w:t xml:space="preserve">. </w:t>
      </w:r>
      <w:r w:rsidR="005203BD">
        <w:t xml:space="preserve">Protective IgG </w:t>
      </w:r>
      <w:r w:rsidR="0089126C">
        <w:t xml:space="preserve">antibody </w:t>
      </w:r>
      <w:r w:rsidR="005203BD">
        <w:t>serum titers</w:t>
      </w:r>
      <w:r w:rsidR="00B14220">
        <w:t xml:space="preserve"> were measured </w:t>
      </w:r>
      <w:r w:rsidR="00841549">
        <w:t xml:space="preserve">for </w:t>
      </w:r>
      <w:r w:rsidR="0089126C">
        <w:t xml:space="preserve">several </w:t>
      </w:r>
      <w:r w:rsidR="00E336AD">
        <w:t>pathogens</w:t>
      </w:r>
      <w:r w:rsidR="009539B9">
        <w:t xml:space="preserve"> </w:t>
      </w:r>
      <w:r w:rsidR="0089126C">
        <w:t xml:space="preserve">in </w:t>
      </w:r>
      <w:r w:rsidR="00BC164F">
        <w:t>pemphigus patients</w:t>
      </w:r>
      <w:r w:rsidR="00174BED">
        <w:t xml:space="preserve"> throughout the study</w:t>
      </w:r>
      <w:r w:rsidR="003345A4">
        <w:t>, regardless of vaccination history</w:t>
      </w:r>
      <w:r w:rsidR="00BC164F">
        <w:t>.</w:t>
      </w:r>
      <w:r w:rsidR="00B5122F">
        <w:t xml:space="preserve"> </w:t>
      </w:r>
      <w:r w:rsidR="00BC164F">
        <w:t xml:space="preserve">Patients with </w:t>
      </w:r>
      <w:proofErr w:type="spellStart"/>
      <w:r w:rsidR="00BC164F">
        <w:t>gMG</w:t>
      </w:r>
      <w:proofErr w:type="spellEnd"/>
      <w:r w:rsidR="007844D8">
        <w:t xml:space="preserve"> were vaccinated during the clinical</w:t>
      </w:r>
      <w:r w:rsidR="00924B2B">
        <w:t xml:space="preserve"> studies</w:t>
      </w:r>
      <w:r w:rsidR="007656B9">
        <w:t xml:space="preserve"> and IgG levels were monitored </w:t>
      </w:r>
      <w:r w:rsidR="004F7F9C">
        <w:t>to evaluate immune response</w:t>
      </w:r>
      <w:r w:rsidR="005203BD">
        <w:t xml:space="preserve">. </w:t>
      </w:r>
    </w:p>
    <w:p w14:paraId="7ECB3374" w14:textId="77777777" w:rsidR="0001733D" w:rsidRDefault="0001733D">
      <w:pPr>
        <w:rPr>
          <w:b/>
          <w:bCs/>
        </w:rPr>
      </w:pPr>
    </w:p>
    <w:p w14:paraId="4FD6CCFB" w14:textId="459C412F" w:rsidR="005C4A08" w:rsidRDefault="005C4A08">
      <w:pPr>
        <w:rPr>
          <w:b/>
          <w:bCs/>
        </w:rPr>
      </w:pPr>
      <w:r>
        <w:rPr>
          <w:b/>
          <w:bCs/>
        </w:rPr>
        <w:t>Results:</w:t>
      </w:r>
    </w:p>
    <w:p w14:paraId="54E3C8F2" w14:textId="26C1C65C" w:rsidR="007A1ED6" w:rsidRDefault="000A3A60" w:rsidP="007A1ED6">
      <w:proofErr w:type="spellStart"/>
      <w:r>
        <w:t>gMG</w:t>
      </w:r>
      <w:proofErr w:type="spellEnd"/>
      <w:r>
        <w:t xml:space="preserve"> </w:t>
      </w:r>
      <w:r w:rsidR="004C03FC">
        <w:t xml:space="preserve">patients </w:t>
      </w:r>
      <w:r w:rsidR="00B32D98">
        <w:t>were vaccinated</w:t>
      </w:r>
      <w:r w:rsidR="00791E34">
        <w:t xml:space="preserve"> </w:t>
      </w:r>
      <w:r w:rsidR="00B32D98">
        <w:t>during</w:t>
      </w:r>
      <w:r w:rsidR="0095326C">
        <w:t xml:space="preserve"> and prior to </w:t>
      </w:r>
      <w:r w:rsidR="00791E34">
        <w:t>efgartigimod treatment</w:t>
      </w:r>
      <w:r w:rsidR="008B3A0B">
        <w:t>, at variable time point</w:t>
      </w:r>
      <w:r w:rsidR="00FD3459">
        <w:t>s.</w:t>
      </w:r>
      <w:r w:rsidR="009F03C7">
        <w:t xml:space="preserve"> </w:t>
      </w:r>
      <w:r w:rsidR="00FD3459">
        <w:t>Most patients</w:t>
      </w:r>
      <w:r w:rsidR="009F03C7">
        <w:t xml:space="preserve"> receiv</w:t>
      </w:r>
      <w:r w:rsidR="00FD3459">
        <w:t>ed</w:t>
      </w:r>
      <w:r w:rsidR="009F03C7">
        <w:t xml:space="preserve"> an influenza vaccine, and one also </w:t>
      </w:r>
      <w:r w:rsidR="00FD3459">
        <w:t xml:space="preserve">received </w:t>
      </w:r>
      <w:r w:rsidR="009F03C7">
        <w:t>a pneumococcal vaccine</w:t>
      </w:r>
      <w:r w:rsidR="0095326C">
        <w:t xml:space="preserve">. </w:t>
      </w:r>
      <w:r w:rsidR="00791E34">
        <w:t>C</w:t>
      </w:r>
      <w:r w:rsidR="00E968CB">
        <w:t xml:space="preserve">lear immune responses were seen </w:t>
      </w:r>
      <w:r w:rsidR="0080068E">
        <w:t xml:space="preserve">to </w:t>
      </w:r>
      <w:r w:rsidR="00C90CDC">
        <w:t xml:space="preserve">all pneumococcal and </w:t>
      </w:r>
      <w:r w:rsidR="00606CEC">
        <w:t xml:space="preserve">most </w:t>
      </w:r>
      <w:r w:rsidR="0080068E">
        <w:t>influenza</w:t>
      </w:r>
      <w:r w:rsidR="00E00CB1">
        <w:t xml:space="preserve"> strains, except in one patient</w:t>
      </w:r>
      <w:r w:rsidR="0080068E">
        <w:t xml:space="preserve">. </w:t>
      </w:r>
      <w:r w:rsidR="00CF5430">
        <w:t>The</w:t>
      </w:r>
      <w:r w:rsidR="00DC4D40">
        <w:t xml:space="preserve"> </w:t>
      </w:r>
      <w:r w:rsidR="00CF5430">
        <w:t xml:space="preserve">response persisted even with additional </w:t>
      </w:r>
      <w:r w:rsidR="00B70674">
        <w:t xml:space="preserve">efgartigimod </w:t>
      </w:r>
      <w:r w:rsidR="00CF5430">
        <w:t>treatment.</w:t>
      </w:r>
      <w:r w:rsidR="005856A7">
        <w:t xml:space="preserve"> </w:t>
      </w:r>
      <w:r w:rsidR="00820998">
        <w:t>In</w:t>
      </w:r>
      <w:r w:rsidR="005856A7">
        <w:t xml:space="preserve"> </w:t>
      </w:r>
      <w:r w:rsidR="00A12367">
        <w:t>the pemphigus study</w:t>
      </w:r>
      <w:r w:rsidR="007A1ED6">
        <w:t xml:space="preserve">, anti-vaccine antibody titers followed the total IgG reduction </w:t>
      </w:r>
      <w:r w:rsidR="0076316F">
        <w:t xml:space="preserve">but </w:t>
      </w:r>
      <w:r w:rsidR="007A1ED6">
        <w:t>remained</w:t>
      </w:r>
      <w:r w:rsidR="0076316F" w:rsidRPr="0076316F">
        <w:t xml:space="preserve"> above </w:t>
      </w:r>
      <w:r w:rsidR="00FB4972">
        <w:t>determined p</w:t>
      </w:r>
      <w:r w:rsidR="0076316F" w:rsidRPr="0076316F">
        <w:t>rotective levels</w:t>
      </w:r>
      <w:r w:rsidR="007A1ED6">
        <w:t xml:space="preserve"> in most cases</w:t>
      </w:r>
      <w:r w:rsidR="0076316F">
        <w:t xml:space="preserve">, returning </w:t>
      </w:r>
      <w:r w:rsidR="007A1ED6">
        <w:t>to baseline</w:t>
      </w:r>
      <w:r w:rsidR="00913B6C">
        <w:t xml:space="preserve"> with treatment cessation</w:t>
      </w:r>
      <w:r w:rsidR="00D43E17">
        <w:t>.</w:t>
      </w:r>
    </w:p>
    <w:p w14:paraId="1BDA22A0" w14:textId="77777777" w:rsidR="00CF5430" w:rsidRPr="002A3855" w:rsidRDefault="00CF5430"/>
    <w:p w14:paraId="01E296A5" w14:textId="59C11431" w:rsidR="005C4A08" w:rsidRDefault="005C4A08">
      <w:pPr>
        <w:rPr>
          <w:b/>
          <w:bCs/>
        </w:rPr>
      </w:pPr>
      <w:r>
        <w:rPr>
          <w:b/>
          <w:bCs/>
        </w:rPr>
        <w:t>Conclusions:</w:t>
      </w:r>
    </w:p>
    <w:p w14:paraId="5F30732B" w14:textId="3CAE5AED" w:rsidR="005C4A08" w:rsidRDefault="00D40765">
      <w:r>
        <w:t xml:space="preserve">The </w:t>
      </w:r>
      <w:r w:rsidR="00EA714B">
        <w:t xml:space="preserve">data </w:t>
      </w:r>
      <w:r w:rsidR="00E60EE4">
        <w:t xml:space="preserve">from these studies </w:t>
      </w:r>
      <w:r w:rsidR="00E968CB">
        <w:t xml:space="preserve">indicate </w:t>
      </w:r>
      <w:r w:rsidR="00EA714B">
        <w:t xml:space="preserve">that </w:t>
      </w:r>
      <w:r w:rsidR="009551D0">
        <w:t xml:space="preserve">vaccination during or prior to </w:t>
      </w:r>
      <w:r w:rsidR="004D5252">
        <w:t>efgartigimod treatment</w:t>
      </w:r>
      <w:r w:rsidR="0036496A">
        <w:t>,</w:t>
      </w:r>
      <w:r w:rsidR="00E8690E">
        <w:t xml:space="preserve"> </w:t>
      </w:r>
      <w:r w:rsidR="00A33BCA">
        <w:t xml:space="preserve">does not hinder the ability of </w:t>
      </w:r>
      <w:proofErr w:type="spellStart"/>
      <w:r w:rsidR="0036496A">
        <w:t>g</w:t>
      </w:r>
      <w:r w:rsidR="00A33BCA">
        <w:t>MG</w:t>
      </w:r>
      <w:proofErr w:type="spellEnd"/>
      <w:r w:rsidR="00A33BCA">
        <w:t xml:space="preserve"> patients </w:t>
      </w:r>
      <w:r w:rsidR="00E60EE4">
        <w:t xml:space="preserve">to </w:t>
      </w:r>
      <w:r w:rsidR="00A33BCA">
        <w:t>mount an immune response</w:t>
      </w:r>
      <w:r w:rsidR="00144909">
        <w:t xml:space="preserve"> to those vaccines studies</w:t>
      </w:r>
      <w:r w:rsidR="00E8690E">
        <w:t xml:space="preserve">. </w:t>
      </w:r>
    </w:p>
    <w:p w14:paraId="29652A38" w14:textId="291179F7" w:rsidR="0081150D" w:rsidRDefault="0081150D"/>
    <w:p w14:paraId="1E80C77C" w14:textId="4D718FDA" w:rsidR="0081150D" w:rsidRDefault="0081150D"/>
    <w:p w14:paraId="18A873B1" w14:textId="116B0A72" w:rsidR="0081150D" w:rsidRDefault="0081150D"/>
    <w:p w14:paraId="527C7348" w14:textId="0B5F7005" w:rsidR="0081150D" w:rsidRDefault="0081150D"/>
    <w:p w14:paraId="675921A4" w14:textId="616C88C3" w:rsidR="0081150D" w:rsidRDefault="0081150D"/>
    <w:p w14:paraId="1BC7882B" w14:textId="50BF9F9A" w:rsidR="0081150D" w:rsidRDefault="0081150D"/>
    <w:p w14:paraId="625AC9CF" w14:textId="4FFCF57F" w:rsidR="0081150D" w:rsidRDefault="0081150D"/>
    <w:p w14:paraId="3662E72C" w14:textId="0B4B5B41" w:rsidR="0081150D" w:rsidRDefault="0081150D"/>
    <w:p w14:paraId="64F87F0A" w14:textId="2C2E85D7" w:rsidR="0081150D" w:rsidRDefault="0081150D"/>
    <w:p w14:paraId="199D79ED" w14:textId="2CB15AF1" w:rsidR="0081150D" w:rsidRDefault="0081150D"/>
    <w:p w14:paraId="2AFAAC50" w14:textId="59A0BBD0" w:rsidR="0081150D" w:rsidRDefault="0081150D">
      <w:pPr>
        <w:rPr>
          <w:b/>
          <w:bCs/>
        </w:rPr>
      </w:pPr>
      <w:r>
        <w:rPr>
          <w:b/>
          <w:bCs/>
        </w:rPr>
        <w:lastRenderedPageBreak/>
        <w:t>Disclosures:</w:t>
      </w:r>
    </w:p>
    <w:p w14:paraId="0651F2C2" w14:textId="10DAA7F0" w:rsidR="001C5738" w:rsidRDefault="001C5738">
      <w:pPr>
        <w:rPr>
          <w:b/>
          <w:bCs/>
        </w:rPr>
      </w:pPr>
    </w:p>
    <w:p w14:paraId="2F696327" w14:textId="5718178C" w:rsidR="001C5738" w:rsidRPr="001C5738" w:rsidRDefault="001C5738">
      <w:r>
        <w:t xml:space="preserve">The ADAPT, ADAPT+, and phase two study in pemphigus were funded by </w:t>
      </w:r>
      <w:proofErr w:type="spellStart"/>
      <w:r>
        <w:t>argenx</w:t>
      </w:r>
      <w:proofErr w:type="spellEnd"/>
      <w:r>
        <w:t>.</w:t>
      </w:r>
    </w:p>
    <w:p w14:paraId="2271D945" w14:textId="04A8E0E5" w:rsidR="0081150D" w:rsidRDefault="0081150D">
      <w:pPr>
        <w:rPr>
          <w:b/>
          <w:bCs/>
        </w:rPr>
      </w:pPr>
    </w:p>
    <w:p w14:paraId="5DC866D7" w14:textId="1F47D268" w:rsidR="0081150D" w:rsidRPr="000B56BE" w:rsidRDefault="0081150D" w:rsidP="000B56BE">
      <w:pPr>
        <w:rPr>
          <w:bCs/>
        </w:rPr>
      </w:pPr>
      <w:r>
        <w:rPr>
          <w:b/>
          <w:bCs/>
        </w:rPr>
        <w:t>J</w:t>
      </w:r>
      <w:r w:rsidR="000B56BE">
        <w:rPr>
          <w:b/>
          <w:bCs/>
        </w:rPr>
        <w:t>T</w:t>
      </w:r>
      <w:r>
        <w:rPr>
          <w:b/>
          <w:bCs/>
        </w:rPr>
        <w:t>G</w:t>
      </w:r>
      <w:r w:rsidR="000B56BE">
        <w:rPr>
          <w:b/>
          <w:bCs/>
        </w:rPr>
        <w:t xml:space="preserve"> </w:t>
      </w:r>
      <w:r w:rsidR="000B56BE" w:rsidRPr="000B56BE">
        <w:rPr>
          <w:bCs/>
        </w:rPr>
        <w:t xml:space="preserve">has served as a consultant in past 12 months for </w:t>
      </w:r>
      <w:proofErr w:type="spellStart"/>
      <w:r w:rsidR="000B56BE" w:rsidRPr="000B56BE">
        <w:rPr>
          <w:bCs/>
        </w:rPr>
        <w:t>Immunovant</w:t>
      </w:r>
      <w:proofErr w:type="spellEnd"/>
      <w:r w:rsidR="000B56BE" w:rsidRPr="000B56BE">
        <w:rPr>
          <w:bCs/>
        </w:rPr>
        <w:t xml:space="preserve">, Alexion, Apellis, Momenta, Ra Pharma, Grifols, Jacobus, Becton Dickinson, Cabaletta, Regeneron, Argenx, Janssen, UCB, </w:t>
      </w:r>
      <w:proofErr w:type="spellStart"/>
      <w:r w:rsidR="000B56BE" w:rsidRPr="000B56BE">
        <w:rPr>
          <w:bCs/>
        </w:rPr>
        <w:t>Toleranzia</w:t>
      </w:r>
      <w:proofErr w:type="spellEnd"/>
      <w:r w:rsidR="000B56BE" w:rsidRPr="000B56BE">
        <w:rPr>
          <w:bCs/>
        </w:rPr>
        <w:t xml:space="preserve"> and Piedmont Pharmaceuticals. He receives industry grant support from UCB pharma for a fellowship training grant. Full disclosure statement available at: </w:t>
      </w:r>
      <w:r w:rsidR="000B56BE" w:rsidRPr="00F80EBA">
        <w:rPr>
          <w:bCs/>
        </w:rPr>
        <w:t>https://dcri.org/about-us/conflict-of-interest/</w:t>
      </w:r>
      <w:r w:rsidR="000B56BE" w:rsidRPr="000B56BE">
        <w:rPr>
          <w:bCs/>
        </w:rPr>
        <w:t>. He is a MG trial site investigator for: Alexion, Janssen, UCB Pharma, Argenx, Takeda; receives grant/research support from: NIH (NIAID, NINDS, NIMH), Centers for Disease Control and Prevention, and the Myasthenia Gravis Foundation of America</w:t>
      </w:r>
    </w:p>
    <w:p w14:paraId="048D70C0" w14:textId="412B2362" w:rsidR="0081150D" w:rsidRDefault="0081150D">
      <w:pPr>
        <w:rPr>
          <w:b/>
          <w:bCs/>
        </w:rPr>
      </w:pPr>
    </w:p>
    <w:p w14:paraId="2EF931D5" w14:textId="4328FC94" w:rsidR="0081150D" w:rsidRDefault="0081150D">
      <w:pPr>
        <w:rPr>
          <w:b/>
          <w:bCs/>
        </w:rPr>
      </w:pPr>
      <w:r>
        <w:rPr>
          <w:b/>
          <w:bCs/>
        </w:rPr>
        <w:t>JWS</w:t>
      </w:r>
      <w:r w:rsidR="00B97001">
        <w:rPr>
          <w:b/>
          <w:bCs/>
        </w:rPr>
        <w:t xml:space="preserve"> </w:t>
      </w:r>
      <w:r w:rsidR="00B97001">
        <w:rPr>
          <w:bCs/>
        </w:rPr>
        <w:t xml:space="preserve">receives research and salary support from the National Institutes of Health, </w:t>
      </w:r>
      <w:proofErr w:type="spellStart"/>
      <w:r w:rsidR="00B97001">
        <w:rPr>
          <w:bCs/>
        </w:rPr>
        <w:t>Cellective</w:t>
      </w:r>
      <w:proofErr w:type="spellEnd"/>
      <w:r w:rsidR="00B97001">
        <w:rPr>
          <w:bCs/>
        </w:rPr>
        <w:t xml:space="preserve"> Inc., the Jeffrey Modell Foundation, and is consultant for </w:t>
      </w:r>
      <w:proofErr w:type="spellStart"/>
      <w:r w:rsidR="00B97001">
        <w:rPr>
          <w:bCs/>
        </w:rPr>
        <w:t>agenx</w:t>
      </w:r>
      <w:proofErr w:type="spellEnd"/>
      <w:r w:rsidR="00B97001">
        <w:rPr>
          <w:bCs/>
        </w:rPr>
        <w:t>.</w:t>
      </w:r>
    </w:p>
    <w:p w14:paraId="3D58A2DD" w14:textId="0C6CC52A" w:rsidR="0081150D" w:rsidRDefault="0081150D">
      <w:pPr>
        <w:rPr>
          <w:b/>
          <w:bCs/>
        </w:rPr>
      </w:pPr>
    </w:p>
    <w:p w14:paraId="43D49DAC" w14:textId="524C2881" w:rsidR="0081150D" w:rsidRDefault="0081150D">
      <w:r>
        <w:rPr>
          <w:b/>
          <w:bCs/>
        </w:rPr>
        <w:t>SS, MS, DG, HDH</w:t>
      </w:r>
      <w:r w:rsidR="001C5738">
        <w:rPr>
          <w:b/>
          <w:bCs/>
        </w:rPr>
        <w:t xml:space="preserve"> </w:t>
      </w:r>
      <w:r w:rsidR="001C5738">
        <w:t xml:space="preserve">are employees of </w:t>
      </w:r>
      <w:proofErr w:type="spellStart"/>
      <w:r w:rsidR="001C5738">
        <w:t>argenx</w:t>
      </w:r>
      <w:proofErr w:type="spellEnd"/>
      <w:r w:rsidR="001C5738">
        <w:t>.</w:t>
      </w:r>
    </w:p>
    <w:p w14:paraId="4EBAC41D" w14:textId="6E0271E9" w:rsidR="001C5738" w:rsidRDefault="001C5738"/>
    <w:p w14:paraId="6ED8EEA1" w14:textId="39067D3A" w:rsidR="001C5738" w:rsidRPr="007844D8" w:rsidRDefault="00656AF7">
      <w:r>
        <w:rPr>
          <w:b/>
          <w:bCs/>
        </w:rPr>
        <w:t>KW</w:t>
      </w:r>
      <w:r w:rsidR="007844D8">
        <w:rPr>
          <w:b/>
          <w:bCs/>
        </w:rPr>
        <w:t xml:space="preserve"> </w:t>
      </w:r>
      <w:r w:rsidR="007844D8">
        <w:t>reports on disclosures</w:t>
      </w:r>
    </w:p>
    <w:p w14:paraId="2CAA95ED" w14:textId="0D75A795" w:rsidR="00656AF7" w:rsidRPr="004823FA" w:rsidRDefault="00656AF7">
      <w:r>
        <w:rPr>
          <w:b/>
          <w:bCs/>
        </w:rPr>
        <w:br/>
        <w:t>AA</w:t>
      </w:r>
      <w:r w:rsidR="003E6354">
        <w:rPr>
          <w:b/>
          <w:bCs/>
        </w:rPr>
        <w:t xml:space="preserve"> </w:t>
      </w:r>
      <w:r w:rsidR="004823FA">
        <w:t>has received</w:t>
      </w:r>
      <w:r w:rsidR="004823FA" w:rsidRPr="004823FA">
        <w:t xml:space="preserve"> research support from X4, Grifols, Astra-Zeneca. Consultant for CSL, </w:t>
      </w:r>
      <w:proofErr w:type="spellStart"/>
      <w:r w:rsidR="004823FA" w:rsidRPr="004823FA">
        <w:t>Optinose</w:t>
      </w:r>
      <w:proofErr w:type="spellEnd"/>
      <w:r w:rsidR="004823FA" w:rsidRPr="004823FA">
        <w:t xml:space="preserve">, </w:t>
      </w:r>
      <w:proofErr w:type="spellStart"/>
      <w:r w:rsidR="004823FA" w:rsidRPr="004823FA">
        <w:t>Sanofy</w:t>
      </w:r>
      <w:proofErr w:type="spellEnd"/>
      <w:r w:rsidR="004823FA" w:rsidRPr="004823FA">
        <w:t>-Genzyme</w:t>
      </w:r>
      <w:r w:rsidR="004823FA">
        <w:t xml:space="preserve"> (last 12 months).</w:t>
      </w:r>
    </w:p>
    <w:p w14:paraId="43FEB8FA" w14:textId="1E0B224B" w:rsidR="00656AF7" w:rsidRDefault="00656AF7">
      <w:pPr>
        <w:rPr>
          <w:b/>
          <w:bCs/>
        </w:rPr>
      </w:pPr>
    </w:p>
    <w:p w14:paraId="2C2F5810" w14:textId="18B64C5F" w:rsidR="00656AF7" w:rsidRPr="001910EF" w:rsidRDefault="00656AF7">
      <w:r>
        <w:rPr>
          <w:b/>
          <w:bCs/>
        </w:rPr>
        <w:t>JFH</w:t>
      </w:r>
      <w:r w:rsidR="001910EF">
        <w:rPr>
          <w:b/>
          <w:bCs/>
        </w:rPr>
        <w:t xml:space="preserve"> </w:t>
      </w:r>
      <w:r w:rsidR="001910EF" w:rsidRPr="000073A7">
        <w:t xml:space="preserve">has received research support from Alexion Pharmaceuticals, </w:t>
      </w:r>
      <w:proofErr w:type="spellStart"/>
      <w:r w:rsidR="001910EF" w:rsidRPr="000073A7">
        <w:t>argenx</w:t>
      </w:r>
      <w:proofErr w:type="spellEnd"/>
      <w:r w:rsidR="001910EF" w:rsidRPr="000073A7">
        <w:t xml:space="preserve"> BVBA, the Centers for Disease Control and Prevention (Atlanta, GA, USA), the Muscular Dystrophy Association, the National Institutes of Health (including the National Institute of Neurological Disorders and Stroke and the National Institute of Arthritis and Musculoskeletal and Skin Diseases), Ra Pharmaceuticals, Consulting fees/honoraria from Alexion Pharmaceuticals, </w:t>
      </w:r>
      <w:proofErr w:type="spellStart"/>
      <w:r w:rsidR="001910EF" w:rsidRPr="000073A7">
        <w:t>argenx</w:t>
      </w:r>
      <w:proofErr w:type="spellEnd"/>
      <w:r w:rsidR="001910EF" w:rsidRPr="000073A7">
        <w:t xml:space="preserve"> BVBA, </w:t>
      </w:r>
      <w:proofErr w:type="spellStart"/>
      <w:r w:rsidR="001910EF">
        <w:t>Immunovant</w:t>
      </w:r>
      <w:proofErr w:type="spellEnd"/>
      <w:r w:rsidR="001910EF">
        <w:t xml:space="preserve">, </w:t>
      </w:r>
      <w:r w:rsidR="001910EF" w:rsidRPr="000073A7">
        <w:t>Ra Pharmaceuticals</w:t>
      </w:r>
      <w:r w:rsidR="001910EF">
        <w:t xml:space="preserve"> (now UCB Biosciences), Regeneron Pharmaceuticals</w:t>
      </w:r>
      <w:r w:rsidR="001910EF" w:rsidRPr="000073A7">
        <w:t xml:space="preserve"> and </w:t>
      </w:r>
      <w:proofErr w:type="spellStart"/>
      <w:r w:rsidR="001910EF" w:rsidRPr="000073A7">
        <w:t>Viela</w:t>
      </w:r>
      <w:proofErr w:type="spellEnd"/>
      <w:r w:rsidR="001910EF" w:rsidRPr="000073A7">
        <w:t xml:space="preserve"> Bio Inc.  and non-financial support from Alexion Pharmaceuticals, </w:t>
      </w:r>
      <w:proofErr w:type="spellStart"/>
      <w:r w:rsidR="001910EF" w:rsidRPr="000073A7">
        <w:t>argenx</w:t>
      </w:r>
      <w:proofErr w:type="spellEnd"/>
      <w:r w:rsidR="001910EF" w:rsidRPr="000073A7">
        <w:t xml:space="preserve"> BVBA, Ra Pharmaceuticals </w:t>
      </w:r>
      <w:r w:rsidR="001910EF">
        <w:t xml:space="preserve">(now UCB Biosciences) </w:t>
      </w:r>
      <w:r w:rsidR="001910EF" w:rsidRPr="000073A7">
        <w:t xml:space="preserve">and </w:t>
      </w:r>
      <w:proofErr w:type="spellStart"/>
      <w:r w:rsidR="001910EF" w:rsidRPr="000073A7">
        <w:t>Toleranzia</w:t>
      </w:r>
      <w:proofErr w:type="spellEnd"/>
      <w:r w:rsidR="001910EF" w:rsidRPr="000073A7">
        <w:t>.</w:t>
      </w:r>
    </w:p>
    <w:p w14:paraId="57B51984" w14:textId="77777777" w:rsidR="001C5738" w:rsidRPr="001C5738" w:rsidRDefault="001C5738"/>
    <w:sectPr w:rsidR="001C5738" w:rsidRPr="001C573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EF746" w14:textId="77777777" w:rsidR="00EE426E" w:rsidRDefault="00EE426E" w:rsidP="00617D65">
      <w:r>
        <w:separator/>
      </w:r>
    </w:p>
  </w:endnote>
  <w:endnote w:type="continuationSeparator" w:id="0">
    <w:p w14:paraId="64577595" w14:textId="77777777" w:rsidR="00EE426E" w:rsidRDefault="00EE426E" w:rsidP="0061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1557" w14:textId="77777777" w:rsidR="00392811" w:rsidRDefault="0039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3B9B" w14:textId="77777777" w:rsidR="00392811" w:rsidRDefault="00392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E716" w14:textId="77777777" w:rsidR="00392811" w:rsidRDefault="0039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C557C" w14:textId="77777777" w:rsidR="00EE426E" w:rsidRDefault="00EE426E" w:rsidP="00617D65">
      <w:r>
        <w:separator/>
      </w:r>
    </w:p>
  </w:footnote>
  <w:footnote w:type="continuationSeparator" w:id="0">
    <w:p w14:paraId="0DC6D0A4" w14:textId="77777777" w:rsidR="00EE426E" w:rsidRDefault="00EE426E" w:rsidP="0061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AF87" w14:textId="77777777" w:rsidR="00392811" w:rsidRDefault="0039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CE53" w14:textId="79214856" w:rsidR="00476E4C" w:rsidRDefault="00476E4C">
    <w:pPr>
      <w:pStyle w:val="Header"/>
    </w:pPr>
    <w:r>
      <w:t>Myasthenia Gravis Foundation of America (MGFA) meeting</w:t>
    </w:r>
  </w:p>
  <w:p w14:paraId="0CE0F3EC" w14:textId="4917DF8B" w:rsidR="00476E4C" w:rsidRDefault="00476E4C">
    <w:pPr>
      <w:pStyle w:val="Header"/>
    </w:pPr>
    <w:r>
      <w:t>Submission Deadline: June 15</w:t>
    </w:r>
    <w:r w:rsidRPr="00476E4C">
      <w:rPr>
        <w:vertAlign w:val="superscript"/>
      </w:rPr>
      <w:t>th</w:t>
    </w:r>
    <w: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BD31" w14:textId="77777777" w:rsidR="00392811" w:rsidRDefault="0039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B6"/>
    <w:rsid w:val="0001152E"/>
    <w:rsid w:val="0001733D"/>
    <w:rsid w:val="000210E1"/>
    <w:rsid w:val="00023BD6"/>
    <w:rsid w:val="00035471"/>
    <w:rsid w:val="00077AC3"/>
    <w:rsid w:val="000A3A60"/>
    <w:rsid w:val="000B56BE"/>
    <w:rsid w:val="00133638"/>
    <w:rsid w:val="00143514"/>
    <w:rsid w:val="00144909"/>
    <w:rsid w:val="00174BED"/>
    <w:rsid w:val="00177BAE"/>
    <w:rsid w:val="00184BF3"/>
    <w:rsid w:val="001854F4"/>
    <w:rsid w:val="001910EF"/>
    <w:rsid w:val="001C0084"/>
    <w:rsid w:val="001C5738"/>
    <w:rsid w:val="001C76D6"/>
    <w:rsid w:val="001D3A4B"/>
    <w:rsid w:val="0021011F"/>
    <w:rsid w:val="00216D37"/>
    <w:rsid w:val="00274D3B"/>
    <w:rsid w:val="002A3855"/>
    <w:rsid w:val="002B0313"/>
    <w:rsid w:val="002B1DC8"/>
    <w:rsid w:val="002D5802"/>
    <w:rsid w:val="00332465"/>
    <w:rsid w:val="003345A4"/>
    <w:rsid w:val="00343FD6"/>
    <w:rsid w:val="00346089"/>
    <w:rsid w:val="0036496A"/>
    <w:rsid w:val="0038246B"/>
    <w:rsid w:val="0038294F"/>
    <w:rsid w:val="00392811"/>
    <w:rsid w:val="003B03EF"/>
    <w:rsid w:val="003C5CFC"/>
    <w:rsid w:val="003E6354"/>
    <w:rsid w:val="003F7E2C"/>
    <w:rsid w:val="0040232E"/>
    <w:rsid w:val="004060C5"/>
    <w:rsid w:val="00406755"/>
    <w:rsid w:val="00425700"/>
    <w:rsid w:val="004300D5"/>
    <w:rsid w:val="00430238"/>
    <w:rsid w:val="00462456"/>
    <w:rsid w:val="00476E4C"/>
    <w:rsid w:val="004823FA"/>
    <w:rsid w:val="004C03FC"/>
    <w:rsid w:val="004C674F"/>
    <w:rsid w:val="004D5252"/>
    <w:rsid w:val="004E3470"/>
    <w:rsid w:val="004F7F9C"/>
    <w:rsid w:val="005063E5"/>
    <w:rsid w:val="005203BD"/>
    <w:rsid w:val="005736C0"/>
    <w:rsid w:val="0057447D"/>
    <w:rsid w:val="005752D2"/>
    <w:rsid w:val="005856A7"/>
    <w:rsid w:val="005C4A08"/>
    <w:rsid w:val="00604263"/>
    <w:rsid w:val="00606CEC"/>
    <w:rsid w:val="00617D65"/>
    <w:rsid w:val="00656AF7"/>
    <w:rsid w:val="0066757E"/>
    <w:rsid w:val="006952ED"/>
    <w:rsid w:val="00696EBC"/>
    <w:rsid w:val="006C763E"/>
    <w:rsid w:val="006D556E"/>
    <w:rsid w:val="007146A9"/>
    <w:rsid w:val="0076316F"/>
    <w:rsid w:val="007656B9"/>
    <w:rsid w:val="00775F39"/>
    <w:rsid w:val="007844D8"/>
    <w:rsid w:val="00791E34"/>
    <w:rsid w:val="007A1ED6"/>
    <w:rsid w:val="007D79F3"/>
    <w:rsid w:val="007E11C6"/>
    <w:rsid w:val="007E18C3"/>
    <w:rsid w:val="0080068E"/>
    <w:rsid w:val="0081150D"/>
    <w:rsid w:val="00820998"/>
    <w:rsid w:val="00841549"/>
    <w:rsid w:val="00845713"/>
    <w:rsid w:val="00853DCD"/>
    <w:rsid w:val="008603A4"/>
    <w:rsid w:val="0089126C"/>
    <w:rsid w:val="008B3A0B"/>
    <w:rsid w:val="008C67CA"/>
    <w:rsid w:val="008D5642"/>
    <w:rsid w:val="008F0F52"/>
    <w:rsid w:val="00906ABC"/>
    <w:rsid w:val="00913B6C"/>
    <w:rsid w:val="009231A9"/>
    <w:rsid w:val="00924B2B"/>
    <w:rsid w:val="0095326C"/>
    <w:rsid w:val="009539B9"/>
    <w:rsid w:val="009551D0"/>
    <w:rsid w:val="009640A9"/>
    <w:rsid w:val="00966CBA"/>
    <w:rsid w:val="00982122"/>
    <w:rsid w:val="009858AC"/>
    <w:rsid w:val="00985AB6"/>
    <w:rsid w:val="009F03C7"/>
    <w:rsid w:val="00A12367"/>
    <w:rsid w:val="00A33BCA"/>
    <w:rsid w:val="00A34B56"/>
    <w:rsid w:val="00A62597"/>
    <w:rsid w:val="00A667F8"/>
    <w:rsid w:val="00A705FE"/>
    <w:rsid w:val="00A8298B"/>
    <w:rsid w:val="00A83886"/>
    <w:rsid w:val="00AE23A3"/>
    <w:rsid w:val="00B14220"/>
    <w:rsid w:val="00B253A6"/>
    <w:rsid w:val="00B32D98"/>
    <w:rsid w:val="00B4275F"/>
    <w:rsid w:val="00B5122F"/>
    <w:rsid w:val="00B65DBC"/>
    <w:rsid w:val="00B67488"/>
    <w:rsid w:val="00B70674"/>
    <w:rsid w:val="00B837E0"/>
    <w:rsid w:val="00B97001"/>
    <w:rsid w:val="00BC164F"/>
    <w:rsid w:val="00BD7C3A"/>
    <w:rsid w:val="00BD7EE9"/>
    <w:rsid w:val="00BE57E7"/>
    <w:rsid w:val="00C2181C"/>
    <w:rsid w:val="00C26DEE"/>
    <w:rsid w:val="00C42395"/>
    <w:rsid w:val="00C50DBB"/>
    <w:rsid w:val="00C90CDC"/>
    <w:rsid w:val="00C9127D"/>
    <w:rsid w:val="00CA6905"/>
    <w:rsid w:val="00CC4561"/>
    <w:rsid w:val="00CE10D6"/>
    <w:rsid w:val="00CF5430"/>
    <w:rsid w:val="00D13E3C"/>
    <w:rsid w:val="00D25A95"/>
    <w:rsid w:val="00D37505"/>
    <w:rsid w:val="00D40765"/>
    <w:rsid w:val="00D408C2"/>
    <w:rsid w:val="00D43E17"/>
    <w:rsid w:val="00D53448"/>
    <w:rsid w:val="00D6267F"/>
    <w:rsid w:val="00D62AEB"/>
    <w:rsid w:val="00D80C68"/>
    <w:rsid w:val="00D85DD9"/>
    <w:rsid w:val="00DB1997"/>
    <w:rsid w:val="00DC4D40"/>
    <w:rsid w:val="00DD0195"/>
    <w:rsid w:val="00DE3FD8"/>
    <w:rsid w:val="00DF7AD1"/>
    <w:rsid w:val="00E00502"/>
    <w:rsid w:val="00E00CB1"/>
    <w:rsid w:val="00E2005E"/>
    <w:rsid w:val="00E336AD"/>
    <w:rsid w:val="00E60EE4"/>
    <w:rsid w:val="00E612F1"/>
    <w:rsid w:val="00E66927"/>
    <w:rsid w:val="00E720E7"/>
    <w:rsid w:val="00E808DC"/>
    <w:rsid w:val="00E8690E"/>
    <w:rsid w:val="00E95B05"/>
    <w:rsid w:val="00E968CB"/>
    <w:rsid w:val="00EA714B"/>
    <w:rsid w:val="00EA7893"/>
    <w:rsid w:val="00EB359F"/>
    <w:rsid w:val="00EB5301"/>
    <w:rsid w:val="00EB5D41"/>
    <w:rsid w:val="00ED117B"/>
    <w:rsid w:val="00EE426E"/>
    <w:rsid w:val="00EE589D"/>
    <w:rsid w:val="00F0577B"/>
    <w:rsid w:val="00F127D7"/>
    <w:rsid w:val="00F27528"/>
    <w:rsid w:val="00F359FD"/>
    <w:rsid w:val="00F63F43"/>
    <w:rsid w:val="00F65B27"/>
    <w:rsid w:val="00F75A9B"/>
    <w:rsid w:val="00F80EBA"/>
    <w:rsid w:val="00F947EF"/>
    <w:rsid w:val="00FB4972"/>
    <w:rsid w:val="00FB7FC7"/>
    <w:rsid w:val="00FD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127D9"/>
  <w15:chartTrackingRefBased/>
  <w15:docId w15:val="{38FD9D99-9081-412C-BAFC-E74591F9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008" w:hanging="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B6"/>
    <w:pPr>
      <w:spacing w:before="0" w:beforeAutospacing="0" w:after="0" w:afterAutospacing="0"/>
      <w:ind w:left="0" w:firstLine="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E4C"/>
    <w:pPr>
      <w:tabs>
        <w:tab w:val="center" w:pos="4703"/>
        <w:tab w:val="right" w:pos="9406"/>
      </w:tabs>
    </w:pPr>
  </w:style>
  <w:style w:type="character" w:customStyle="1" w:styleId="HeaderChar">
    <w:name w:val="Header Char"/>
    <w:basedOn w:val="DefaultParagraphFont"/>
    <w:link w:val="Header"/>
    <w:uiPriority w:val="99"/>
    <w:rsid w:val="00476E4C"/>
    <w:rPr>
      <w:rFonts w:ascii="Calibri" w:hAnsi="Calibri" w:cs="Calibri"/>
    </w:rPr>
  </w:style>
  <w:style w:type="paragraph" w:styleId="Footer">
    <w:name w:val="footer"/>
    <w:basedOn w:val="Normal"/>
    <w:link w:val="FooterChar"/>
    <w:uiPriority w:val="99"/>
    <w:unhideWhenUsed/>
    <w:rsid w:val="00476E4C"/>
    <w:pPr>
      <w:tabs>
        <w:tab w:val="center" w:pos="4703"/>
        <w:tab w:val="right" w:pos="9406"/>
      </w:tabs>
    </w:pPr>
  </w:style>
  <w:style w:type="character" w:customStyle="1" w:styleId="FooterChar">
    <w:name w:val="Footer Char"/>
    <w:basedOn w:val="DefaultParagraphFont"/>
    <w:link w:val="Footer"/>
    <w:uiPriority w:val="99"/>
    <w:rsid w:val="00476E4C"/>
    <w:rPr>
      <w:rFonts w:ascii="Calibri" w:hAnsi="Calibri" w:cs="Calibri"/>
    </w:rPr>
  </w:style>
  <w:style w:type="paragraph" w:styleId="BalloonText">
    <w:name w:val="Balloon Text"/>
    <w:basedOn w:val="Normal"/>
    <w:link w:val="BalloonTextChar"/>
    <w:uiPriority w:val="99"/>
    <w:semiHidden/>
    <w:unhideWhenUsed/>
    <w:rsid w:val="00392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11"/>
    <w:rPr>
      <w:rFonts w:ascii="Segoe UI" w:hAnsi="Segoe UI" w:cs="Segoe UI"/>
      <w:sz w:val="18"/>
      <w:szCs w:val="18"/>
    </w:rPr>
  </w:style>
  <w:style w:type="character" w:styleId="CommentReference">
    <w:name w:val="annotation reference"/>
    <w:basedOn w:val="DefaultParagraphFont"/>
    <w:uiPriority w:val="99"/>
    <w:semiHidden/>
    <w:unhideWhenUsed/>
    <w:rsid w:val="00D53448"/>
    <w:rPr>
      <w:sz w:val="16"/>
      <w:szCs w:val="16"/>
    </w:rPr>
  </w:style>
  <w:style w:type="paragraph" w:styleId="CommentText">
    <w:name w:val="annotation text"/>
    <w:basedOn w:val="Normal"/>
    <w:link w:val="CommentTextChar"/>
    <w:uiPriority w:val="99"/>
    <w:semiHidden/>
    <w:unhideWhenUsed/>
    <w:rsid w:val="00D53448"/>
    <w:rPr>
      <w:sz w:val="20"/>
      <w:szCs w:val="20"/>
    </w:rPr>
  </w:style>
  <w:style w:type="character" w:customStyle="1" w:styleId="CommentTextChar">
    <w:name w:val="Comment Text Char"/>
    <w:basedOn w:val="DefaultParagraphFont"/>
    <w:link w:val="CommentText"/>
    <w:uiPriority w:val="99"/>
    <w:semiHidden/>
    <w:rsid w:val="00D5344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3448"/>
    <w:rPr>
      <w:b/>
      <w:bCs/>
    </w:rPr>
  </w:style>
  <w:style w:type="character" w:customStyle="1" w:styleId="CommentSubjectChar">
    <w:name w:val="Comment Subject Char"/>
    <w:basedOn w:val="CommentTextChar"/>
    <w:link w:val="CommentSubject"/>
    <w:uiPriority w:val="99"/>
    <w:semiHidden/>
    <w:rsid w:val="00D53448"/>
    <w:rPr>
      <w:rFonts w:ascii="Calibri" w:hAnsi="Calibri" w:cs="Calibri"/>
      <w:b/>
      <w:bCs/>
      <w:sz w:val="20"/>
      <w:szCs w:val="20"/>
    </w:rPr>
  </w:style>
  <w:style w:type="character" w:styleId="Hyperlink">
    <w:name w:val="Hyperlink"/>
    <w:basedOn w:val="DefaultParagraphFont"/>
    <w:uiPriority w:val="99"/>
    <w:unhideWhenUsed/>
    <w:rsid w:val="000B5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75C8C459CB8A428837A5C885967258" ma:contentTypeVersion="9" ma:contentTypeDescription="Create a new document." ma:contentTypeScope="" ma:versionID="53d32deaeaede5f036be2e1a2ed26dc4">
  <xsd:schema xmlns:xsd="http://www.w3.org/2001/XMLSchema" xmlns:xs="http://www.w3.org/2001/XMLSchema" xmlns:p="http://schemas.microsoft.com/office/2006/metadata/properties" xmlns:ns2="cd523e3f-3039-47d8-8804-4c4556699969" xmlns:ns3="70cb02eb-38ea-4787-b090-d72354c62631" targetNamespace="http://schemas.microsoft.com/office/2006/metadata/properties" ma:root="true" ma:fieldsID="f1ca5770939b4d202a990eef9e974cff" ns2:_="" ns3:_="">
    <xsd:import namespace="cd523e3f-3039-47d8-8804-4c4556699969"/>
    <xsd:import namespace="70cb02eb-38ea-4787-b090-d72354c62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23e3f-3039-47d8-8804-4c4556699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e2c3530-65fe-46ac-83e0-4e2df20002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b02eb-38ea-4787-b090-d72354c62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05536f-bf8e-4f54-a929-4e8a63839423}" ma:internalName="TaxCatchAll" ma:showField="CatchAllData" ma:web="70cb02eb-38ea-4787-b090-d72354c62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523e3f-3039-47d8-8804-4c4556699969">
      <Terms xmlns="http://schemas.microsoft.com/office/infopath/2007/PartnerControls"/>
    </lcf76f155ced4ddcb4097134ff3c332f>
    <TaxCatchAll xmlns="70cb02eb-38ea-4787-b090-d72354c62631" xsi:nil="true"/>
  </documentManagement>
</p:properties>
</file>

<file path=customXml/itemProps1.xml><?xml version="1.0" encoding="utf-8"?>
<ds:datastoreItem xmlns:ds="http://schemas.openxmlformats.org/officeDocument/2006/customXml" ds:itemID="{D2C455C9-3A61-4499-8E5D-70BE1C132BF1}">
  <ds:schemaRefs>
    <ds:schemaRef ds:uri="http://schemas.microsoft.com/sharepoint/v3/contenttype/forms"/>
  </ds:schemaRefs>
</ds:datastoreItem>
</file>

<file path=customXml/itemProps2.xml><?xml version="1.0" encoding="utf-8"?>
<ds:datastoreItem xmlns:ds="http://schemas.openxmlformats.org/officeDocument/2006/customXml" ds:itemID="{9A9E9D4F-8D77-4D18-8CD5-6DCAF3F54F80}">
  <ds:schemaRefs>
    <ds:schemaRef ds:uri="http://schemas.openxmlformats.org/officeDocument/2006/bibliography"/>
  </ds:schemaRefs>
</ds:datastoreItem>
</file>

<file path=customXml/itemProps3.xml><?xml version="1.0" encoding="utf-8"?>
<ds:datastoreItem xmlns:ds="http://schemas.openxmlformats.org/officeDocument/2006/customXml" ds:itemID="{696EC667-E1A8-454E-9368-E063A5C734CA}"/>
</file>

<file path=customXml/itemProps4.xml><?xml version="1.0" encoding="utf-8"?>
<ds:datastoreItem xmlns:ds="http://schemas.openxmlformats.org/officeDocument/2006/customXml" ds:itemID="{4BDBEB8B-1A59-458D-9429-EE0C4ACCD3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Ulrichts</dc:creator>
  <cp:keywords/>
  <dc:description/>
  <cp:lastModifiedBy>Brant Hubbard</cp:lastModifiedBy>
  <cp:revision>2</cp:revision>
  <dcterms:created xsi:type="dcterms:W3CDTF">2021-06-15T19:24:00Z</dcterms:created>
  <dcterms:modified xsi:type="dcterms:W3CDTF">2021-06-15T19:24:00Z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0x0101005375C8C459CB8A428837A5C885967258</vt:lpwstr>
  </property>
</Properties>
</file>