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bookmarkStart w:id="9" w:name="_GoBack"/>
      <w:bookmarkEnd w:id="9"/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highlight w:val="none"/>
          <w:lang w:eastAsia="zh-CN"/>
        </w:rPr>
        <w:t>病原微生物检测技术与感染防治研究项目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</w:t>
          </w:r>
          <w:r>
            <w:rPr>
              <w:rFonts w:hint="eastAsia" w:ascii="宋体" w:hAnsi="宋体" w:cs="宋体"/>
              <w:b/>
              <w:bCs/>
              <w:color w:val="000000"/>
              <w:sz w:val="28"/>
              <w:szCs w:val="28"/>
              <w:highlight w:val="none"/>
              <w:u w:val="single"/>
              <w:lang w:eastAsia="zh-CN"/>
            </w:rPr>
            <w:t>病原微生物检测技术与感染防治研究项目</w:t>
          </w:r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65387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7115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71702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9562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1834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30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299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82111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786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日起至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2026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日止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北京生命绿洲公益服务中心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2024年12月20日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专项合同书》打印一式肆份并签章，在规定时间内寄送至甲方。</w:t>
      </w:r>
    </w:p>
    <w:p w14:paraId="7EBBA0C4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6ED39753">
      <w:pPr>
        <w:numPr>
          <w:ilvl w:val="0"/>
          <w:numId w:val="3"/>
        </w:numPr>
        <w:spacing w:before="120" w:line="360" w:lineRule="auto"/>
        <w:ind w:left="420" w:right="-62" w:hanging="420" w:firstLineChars="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专项申请书》和本《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病原微生物检测技术与感染防治研究项目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</w:t>
      </w:r>
    </w:p>
    <w:p w14:paraId="41E89D3B">
      <w:pPr>
        <w:numPr>
          <w:ilvl w:val="-1"/>
          <w:numId w:val="0"/>
        </w:numPr>
        <w:spacing w:before="120" w:line="360" w:lineRule="auto"/>
        <w:ind w:left="0" w:right="-62" w:firstLine="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4587D06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2DE5784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E1201FF"/>
    <w:rsid w:val="3E88316C"/>
    <w:rsid w:val="3EE55913"/>
    <w:rsid w:val="408677D1"/>
    <w:rsid w:val="40CF189E"/>
    <w:rsid w:val="4128214E"/>
    <w:rsid w:val="42336996"/>
    <w:rsid w:val="432E3391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9D23EB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B36BF9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0A417BD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1588</Words>
  <Characters>1612</Characters>
  <Lines>37</Lines>
  <Paragraphs>10</Paragraphs>
  <TotalTime>1</TotalTime>
  <ScaleCrop>false</ScaleCrop>
  <LinksUpToDate>false</LinksUpToDate>
  <CharactersWithSpaces>1993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Amanda</cp:lastModifiedBy>
  <dcterms:modified xsi:type="dcterms:W3CDTF">2024-12-24T03:45:41Z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3E25D7A247E84B39967243180250118B_13</vt:lpwstr>
  </property>
</Properties>
</file>